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8A" w:rsidRPr="009173E9" w:rsidRDefault="00707E8A" w:rsidP="00707E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707E8A" w:rsidRPr="009173E9" w:rsidRDefault="00707E8A" w:rsidP="00707E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поиску и подбору иностранных покупателей </w:t>
      </w:r>
    </w:p>
    <w:p w:rsidR="00707E8A" w:rsidRPr="009173E9" w:rsidRDefault="00707E8A" w:rsidP="00707E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для субъекта малого и среднего предпринимательства</w:t>
      </w:r>
    </w:p>
    <w:p w:rsidR="00707E8A" w:rsidRPr="009173E9" w:rsidRDefault="00707E8A" w:rsidP="00707E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7E8A" w:rsidRPr="004B38BA" w:rsidRDefault="00707E8A" w:rsidP="00707E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США</w:t>
      </w:r>
    </w:p>
    <w:p w:rsidR="00707E8A" w:rsidRPr="009173E9" w:rsidRDefault="00707E8A" w:rsidP="00707E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Продукт: </w:t>
      </w:r>
      <w:r w:rsidRPr="00AF5231">
        <w:rPr>
          <w:rFonts w:ascii="Times New Roman" w:eastAsia="Times New Roman" w:hAnsi="Times New Roman" w:cs="Times New Roman"/>
          <w:bCs/>
          <w:sz w:val="24"/>
          <w:szCs w:val="24"/>
        </w:rPr>
        <w:t>Коды ТН ВЭД: 7102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39 000 0, </w:t>
      </w:r>
      <w:r w:rsidRPr="00AF5231">
        <w:rPr>
          <w:rFonts w:ascii="Times New Roman" w:eastAsia="Times New Roman" w:hAnsi="Times New Roman" w:cs="Times New Roman"/>
          <w:bCs/>
          <w:sz w:val="24"/>
          <w:szCs w:val="24"/>
        </w:rPr>
        <w:t>7113 19 000 0, 7113 11 000 0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7E8A" w:rsidRPr="009173E9" w:rsidRDefault="00707E8A" w:rsidP="00707E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93"/>
        <w:gridCol w:w="8878"/>
      </w:tblGrid>
      <w:tr w:rsidR="00707E8A" w:rsidRPr="009173E9" w:rsidTr="0035103C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8A" w:rsidRPr="009173E9" w:rsidRDefault="00707E8A" w:rsidP="00351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 xml:space="preserve">№ </w:t>
            </w:r>
            <w:proofErr w:type="gramStart"/>
            <w:r w:rsidRPr="009173E9">
              <w:rPr>
                <w:b/>
              </w:rPr>
              <w:t>п</w:t>
            </w:r>
            <w:proofErr w:type="gramEnd"/>
            <w:r w:rsidRPr="009173E9">
              <w:rPr>
                <w:b/>
              </w:rPr>
              <w:t>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8A" w:rsidRPr="009173E9" w:rsidRDefault="00707E8A" w:rsidP="00351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>Наименование услуг</w:t>
            </w:r>
          </w:p>
        </w:tc>
      </w:tr>
      <w:tr w:rsidR="00707E8A" w:rsidRPr="009173E9" w:rsidTr="0035103C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173E9">
              <w:rPr>
                <w:b/>
                <w:color w:val="000000" w:themeColor="text1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Консультирование по условиям экспорта товара субъекта малого и среднего предпринимательства (далее – субъект МСП) на рынок страны иностранного покупателя.</w:t>
            </w:r>
          </w:p>
        </w:tc>
      </w:tr>
      <w:tr w:rsidR="00707E8A" w:rsidRPr="009173E9" w:rsidTr="0035103C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173E9">
              <w:rPr>
                <w:b/>
                <w:color w:val="000000" w:themeColor="text1"/>
              </w:rPr>
              <w:t>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Поиск и подбор иностранных покупателей в соответствии с определенным портретом контрагентов от субъекта МСП и формирование списков потенциальных иностранных покупателей.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Результат работы: </w:t>
            </w:r>
            <w:r w:rsidRPr="00AF5231">
              <w:rPr>
                <w:color w:val="000000" w:themeColor="text1"/>
              </w:rPr>
              <w:t>список из не менее 30 потенциальных (список холодных покупателей)</w:t>
            </w:r>
            <w:r w:rsidRPr="004B38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9173E9">
              <w:rPr>
                <w:color w:val="000000" w:themeColor="text1"/>
              </w:rPr>
              <w:t>покупателей, включая контактные данные (имя ответственного сотрудника иностранного хозяйствующего субъекта, контактные телефоны, юридический адрес, адрес электронной почты, адрес официального сайта (при наличии)).</w:t>
            </w:r>
          </w:p>
        </w:tc>
      </w:tr>
      <w:tr w:rsidR="00707E8A" w:rsidRPr="009173E9" w:rsidTr="0035103C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173E9">
              <w:rPr>
                <w:b/>
                <w:color w:val="000000" w:themeColor="text1"/>
              </w:rPr>
              <w:t>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Сопровождение </w:t>
            </w:r>
            <w:r>
              <w:rPr>
                <w:color w:val="000000" w:themeColor="text1"/>
              </w:rPr>
              <w:t>5</w:t>
            </w:r>
            <w:r w:rsidRPr="00AF5231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пяти</w:t>
            </w:r>
            <w:r w:rsidRPr="00AF5231">
              <w:rPr>
                <w:color w:val="000000" w:themeColor="text1"/>
              </w:rPr>
              <w:t>) переговорных процессов</w:t>
            </w:r>
            <w:r w:rsidRPr="009173E9">
              <w:rPr>
                <w:color w:val="000000" w:themeColor="text1"/>
              </w:rPr>
              <w:t>, включая ведение коммерческой корреспонденции, первичные телефонные переговоры и (или) переговоры с использованием видеоконференцсвязи, содействие в проведении деловых переговоров, включая последовательный перевод.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Результат работы: отчет о проведенных переговорах с </w:t>
            </w:r>
            <w:r>
              <w:rPr>
                <w:color w:val="000000" w:themeColor="text1"/>
              </w:rPr>
              <w:t xml:space="preserve">5 (пятью) </w:t>
            </w:r>
            <w:r w:rsidRPr="009173E9">
              <w:rPr>
                <w:color w:val="000000" w:themeColor="text1"/>
              </w:rPr>
              <w:t>потенциальными партнерами из перечня, составленного в результате услуг.</w:t>
            </w:r>
          </w:p>
        </w:tc>
      </w:tr>
      <w:tr w:rsidR="00707E8A" w:rsidRPr="009173E9" w:rsidTr="0035103C">
        <w:trPr>
          <w:trHeight w:val="6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173E9">
              <w:rPr>
                <w:b/>
                <w:color w:val="000000" w:themeColor="text1"/>
              </w:rPr>
              <w:t>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Пересылка пробной продукции субъекта МСП потенциальным иностранным покупателям.</w:t>
            </w:r>
          </w:p>
        </w:tc>
      </w:tr>
      <w:tr w:rsidR="00707E8A" w:rsidRPr="009173E9" w:rsidTr="0035103C">
        <w:trPr>
          <w:trHeight w:val="46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173E9">
              <w:rPr>
                <w:b/>
                <w:color w:val="000000" w:themeColor="text1"/>
              </w:rPr>
              <w:t>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Формирование или актуализация коммерческого предложения, презентационных материалов и других матери</w:t>
            </w:r>
            <w:r>
              <w:rPr>
                <w:color w:val="000000" w:themeColor="text1"/>
              </w:rPr>
              <w:t>алов по согласованию с субъектом</w:t>
            </w:r>
            <w:r w:rsidRPr="009173E9">
              <w:rPr>
                <w:color w:val="000000" w:themeColor="text1"/>
              </w:rPr>
              <w:t xml:space="preserve"> МСП</w:t>
            </w:r>
            <w:r>
              <w:rPr>
                <w:color w:val="000000" w:themeColor="text1"/>
              </w:rPr>
              <w:t xml:space="preserve"> в электронном виде</w:t>
            </w:r>
            <w:r w:rsidRPr="009173E9">
              <w:rPr>
                <w:color w:val="000000" w:themeColor="text1"/>
              </w:rPr>
              <w:t>, в том числе с переводом на английский язык и (или) на язык потенциальных иностранных покупателей.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Результат работы: презентационные материалы и другие материалы </w:t>
            </w:r>
            <w:r>
              <w:rPr>
                <w:color w:val="000000" w:themeColor="text1"/>
              </w:rPr>
              <w:t>в электронном виде</w:t>
            </w:r>
            <w:r w:rsidRPr="009173E9">
              <w:rPr>
                <w:color w:val="000000" w:themeColor="text1"/>
              </w:rPr>
              <w:t xml:space="preserve"> по согласованию с субъектов МСП, в том числе с переводом на английский язык и (или) на язык потенциальных иностранных покупателей.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коммерческие предложения</w:t>
            </w:r>
            <w:r>
              <w:rPr>
                <w:color w:val="000000" w:themeColor="text1"/>
              </w:rPr>
              <w:t xml:space="preserve"> в электронном виде</w:t>
            </w:r>
            <w:r w:rsidRPr="009173E9">
              <w:rPr>
                <w:color w:val="000000" w:themeColor="text1"/>
              </w:rPr>
              <w:t>, в том числе с переводом на английский язык и (или) на язык потенциальных иностранных покупателей, которые содержат: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- краткое описание экспортируемых товаров с указанием ключевых количественных, качественных, технических характеристик;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- цену экспортной поставки на единицу товара;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- возможные объемы поставок, периодичность и сроки отгрузки партий продукций (сроки выполнения работ, оказания услуг), наличие складских запасов, приближенных к местоположению покупателя;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- возможные условия расчетов (возможность предоставления отсрочки платежа, предпочитаемые формы расчетов и </w:t>
            </w:r>
            <w:proofErr w:type="gramStart"/>
            <w:r w:rsidRPr="009173E9">
              <w:rPr>
                <w:color w:val="000000" w:themeColor="text1"/>
              </w:rPr>
              <w:t>другое</w:t>
            </w:r>
            <w:proofErr w:type="gramEnd"/>
            <w:r w:rsidRPr="009173E9">
              <w:rPr>
                <w:color w:val="000000" w:themeColor="text1"/>
              </w:rPr>
              <w:t>);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- условия </w:t>
            </w:r>
            <w:proofErr w:type="spellStart"/>
            <w:r w:rsidRPr="009173E9">
              <w:rPr>
                <w:color w:val="000000" w:themeColor="text1"/>
              </w:rPr>
              <w:t>постпродажного</w:t>
            </w:r>
            <w:proofErr w:type="spellEnd"/>
            <w:r w:rsidRPr="009173E9">
              <w:rPr>
                <w:color w:val="000000" w:themeColor="text1"/>
              </w:rPr>
              <w:t xml:space="preserve"> и гарантийного обслуживания;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- иные условия поставки товаров,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- контактную информацию.</w:t>
            </w:r>
          </w:p>
        </w:tc>
      </w:tr>
      <w:tr w:rsidR="00707E8A" w:rsidRPr="009173E9" w:rsidTr="0035103C">
        <w:trPr>
          <w:trHeight w:val="3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173E9"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8A" w:rsidRPr="009173E9" w:rsidRDefault="00707E8A" w:rsidP="00351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Заключение не менее </w:t>
            </w:r>
            <w:r>
              <w:rPr>
                <w:color w:val="000000" w:themeColor="text1"/>
              </w:rPr>
              <w:t>1 (</w:t>
            </w:r>
            <w:r w:rsidRPr="009173E9">
              <w:rPr>
                <w:color w:val="000000" w:themeColor="text1"/>
              </w:rPr>
              <w:t>одного</w:t>
            </w:r>
            <w:r>
              <w:rPr>
                <w:color w:val="000000" w:themeColor="text1"/>
              </w:rPr>
              <w:t>)</w:t>
            </w:r>
            <w:r w:rsidRPr="009173E9">
              <w:rPr>
                <w:color w:val="000000" w:themeColor="text1"/>
              </w:rPr>
              <w:t xml:space="preserve"> экспортного договора поставки на товары субъекта МСП.</w:t>
            </w:r>
          </w:p>
        </w:tc>
      </w:tr>
    </w:tbl>
    <w:p w:rsidR="00707E8A" w:rsidRPr="009173E9" w:rsidRDefault="00707E8A" w:rsidP="00707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909" w:rsidRDefault="00707E8A" w:rsidP="00707E8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173E9">
        <w:rPr>
          <w:rFonts w:ascii="Times New Roman" w:eastAsia="Times New Roman" w:hAnsi="Times New Roman" w:cs="Times New Roman"/>
          <w:sz w:val="24"/>
          <w:szCs w:val="20"/>
        </w:rPr>
        <w:t xml:space="preserve">Требования </w:t>
      </w:r>
      <w:proofErr w:type="gramStart"/>
      <w:r w:rsidRPr="009173E9">
        <w:rPr>
          <w:rFonts w:ascii="Times New Roman" w:eastAsia="Times New Roman" w:hAnsi="Times New Roman" w:cs="Times New Roman"/>
          <w:sz w:val="24"/>
          <w:szCs w:val="20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9173E9">
        <w:rPr>
          <w:rFonts w:ascii="Times New Roman" w:eastAsia="Times New Roman" w:hAnsi="Times New Roman" w:cs="Times New Roman"/>
          <w:sz w:val="24"/>
          <w:szCs w:val="20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  <w:bookmarkStart w:id="0" w:name="_GoBack"/>
      <w:bookmarkEnd w:id="0"/>
    </w:p>
    <w:sectPr w:rsidR="0039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8A"/>
    <w:rsid w:val="00275C50"/>
    <w:rsid w:val="00346245"/>
    <w:rsid w:val="00707E8A"/>
    <w:rsid w:val="007F6157"/>
    <w:rsid w:val="00A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PC-510</dc:creator>
  <cp:lastModifiedBy>PC-510</cp:lastModifiedBy>
  <cp:revision>2</cp:revision>
  <dcterms:created xsi:type="dcterms:W3CDTF">2021-06-09T07:50:00Z</dcterms:created>
  <dcterms:modified xsi:type="dcterms:W3CDTF">2021-06-09T07:50:00Z</dcterms:modified>
</cp:coreProperties>
</file>